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byron-profile"/>
    <w:p>
      <w:pPr>
        <w:pStyle w:val="Heading1"/>
      </w:pPr>
      <w:r>
        <w:t xml:space="preserve">Byron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566 sqkm          </w:t>
      </w:r>
      <w:r>
        <w:rPr>
          <w:bCs/>
          <w:b/>
        </w:rPr>
        <w:t xml:space="preserve">Population:</w:t>
      </w:r>
      <w:r>
        <w:t xml:space="preserve"> </w:t>
      </w:r>
      <w:r>
        <w:t xml:space="preserve">36,398          </w:t>
      </w:r>
      <w:r>
        <w:rPr>
          <w:bCs/>
          <w:b/>
        </w:rPr>
        <w:t xml:space="preserve">Major Town:</w:t>
      </w:r>
      <w:r>
        <w:t xml:space="preserve"> </w:t>
      </w:r>
      <w:r>
        <w:t xml:space="preserve">Byron Bay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20,721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Byron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$36,573          </w:t>
      </w:r>
      <w:r>
        <w:rPr>
          <w:bCs/>
          <w:b/>
        </w:rPr>
        <w:t xml:space="preserve">Gross Regional Product:</w:t>
      </w:r>
      <w:r>
        <w:t xml:space="preserve"> </w:t>
      </w:r>
      <w:r>
        <w:t xml:space="preserve">$2,705 Million          </w:t>
      </w:r>
      <w:r>
        <w:rPr>
          <w:bCs/>
          <w:b/>
        </w:rPr>
        <w:t xml:space="preserve">Employed Residents:</w:t>
      </w:r>
      <w:r>
        <w:t xml:space="preserve"> </w:t>
      </w:r>
      <w:r>
        <w:t xml:space="preserve">19,554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2,491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1,810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5,771</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1135 - Byron NSW Bushfire (14 October - 5 November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 Supplement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Australian Government Disaster Recovery Payment Supplement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608,400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405,813</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4,711,137</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379,195</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26,627.83</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258,600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140,955.2</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14,536,062</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1,547,824</w:t>
            </w:r>
          </w:p>
        </w:tc>
      </w:tr>
      <w:tr>
        <w:trPr>
          <w:trHeight w:val="360" w:hRule="auto"/>
        </w:trPr>
        body13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1,379,023</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(Tranche2 )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24,030,000</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(Tranche1 )</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15,418,447</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5,594,022</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2025-01-02T01:35:31Z</dcterms:created>
  <dcterms:modified xsi:type="dcterms:W3CDTF">2025-01-02T01:35:31Z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